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DC7F49F" w:rsidR="00D6147A" w:rsidRDefault="00323DF1" w:rsidP="00323DF1">
      <w:hyperlink r:id="rId6" w:history="1">
        <w:r w:rsidRPr="000600D0">
          <w:rPr>
            <w:rStyle w:val="Collegamentoipertestuale"/>
          </w:rPr>
          <w:t>https://www.ilfattoquotidiano.it/2025/02/15/panettadazi-danneggiano-usa-in-ue-impatto-piu-forte-in-italia-e-germania/7879176/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fattoquotidiano.it/2025/02/15/panettadazi-danneggiano-usa-in-ue-impatto-piu-forte-in-italia-e-germania/787917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2025-02-18T15:58:00Z</dcterms:created>
  <dcterms:modified xsi:type="dcterms:W3CDTF">2025-02-18T15:58:00Z</dcterms:modified>
</cp:coreProperties>
</file>